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642" w:rsidRDefault="00C664F3" w:rsidP="00C664F3">
      <w:pPr>
        <w:jc w:val="center"/>
        <w:rPr>
          <w:b/>
          <w:sz w:val="24"/>
          <w:szCs w:val="24"/>
          <w:u w:val="single"/>
        </w:rPr>
      </w:pPr>
      <w:r w:rsidRPr="00C664F3">
        <w:rPr>
          <w:b/>
          <w:sz w:val="24"/>
          <w:szCs w:val="24"/>
          <w:u w:val="single"/>
        </w:rPr>
        <w:t xml:space="preserve">Pupil Premium statement </w:t>
      </w:r>
      <w:r w:rsidR="00AC45B9">
        <w:rPr>
          <w:b/>
          <w:sz w:val="24"/>
          <w:szCs w:val="24"/>
          <w:u w:val="single"/>
        </w:rPr>
        <w:t>2019/20</w:t>
      </w:r>
    </w:p>
    <w:p w:rsidR="00C664F3" w:rsidRDefault="00C664F3" w:rsidP="00C664F3">
      <w:pPr>
        <w:jc w:val="both"/>
        <w:rPr>
          <w:sz w:val="24"/>
          <w:szCs w:val="24"/>
        </w:rPr>
      </w:pPr>
      <w:r>
        <w:rPr>
          <w:sz w:val="24"/>
          <w:szCs w:val="24"/>
        </w:rPr>
        <w:t xml:space="preserve">Pupil Premium Funding for the Academic Year </w:t>
      </w:r>
      <w:r w:rsidR="00AC45B9">
        <w:rPr>
          <w:sz w:val="24"/>
          <w:szCs w:val="24"/>
        </w:rPr>
        <w:t>2019-20</w:t>
      </w:r>
      <w:r>
        <w:rPr>
          <w:sz w:val="24"/>
          <w:szCs w:val="24"/>
        </w:rPr>
        <w:t xml:space="preserve"> is based on information received from the DFE.</w:t>
      </w:r>
    </w:p>
    <w:p w:rsidR="00C664F3" w:rsidRDefault="00C664F3" w:rsidP="00C664F3">
      <w:pPr>
        <w:jc w:val="both"/>
        <w:rPr>
          <w:sz w:val="24"/>
          <w:szCs w:val="24"/>
        </w:rPr>
      </w:pPr>
      <w:r>
        <w:rPr>
          <w:sz w:val="24"/>
          <w:szCs w:val="24"/>
        </w:rPr>
        <w:t xml:space="preserve">We expect to receive approximately </w:t>
      </w:r>
      <w:r w:rsidR="00F17B84">
        <w:rPr>
          <w:sz w:val="24"/>
          <w:szCs w:val="24"/>
        </w:rPr>
        <w:t>£</w:t>
      </w:r>
      <w:r w:rsidR="00AC45B9">
        <w:rPr>
          <w:sz w:val="24"/>
          <w:szCs w:val="24"/>
        </w:rPr>
        <w:t>63,730</w:t>
      </w:r>
      <w:r>
        <w:rPr>
          <w:sz w:val="24"/>
          <w:szCs w:val="24"/>
        </w:rPr>
        <w:t xml:space="preserve"> pupil premium funding based on:</w:t>
      </w:r>
    </w:p>
    <w:p w:rsidR="00C664F3" w:rsidRDefault="00C664F3" w:rsidP="00C664F3">
      <w:pPr>
        <w:pStyle w:val="ListParagraph"/>
        <w:numPr>
          <w:ilvl w:val="0"/>
          <w:numId w:val="1"/>
        </w:numPr>
        <w:jc w:val="both"/>
        <w:rPr>
          <w:sz w:val="24"/>
          <w:szCs w:val="24"/>
        </w:rPr>
      </w:pPr>
      <w:r>
        <w:rPr>
          <w:sz w:val="24"/>
          <w:szCs w:val="24"/>
        </w:rPr>
        <w:t xml:space="preserve">Students currently receiving free school meals </w:t>
      </w:r>
    </w:p>
    <w:p w:rsidR="00C664F3" w:rsidRDefault="00C664F3" w:rsidP="00C664F3">
      <w:pPr>
        <w:pStyle w:val="ListParagraph"/>
        <w:numPr>
          <w:ilvl w:val="0"/>
          <w:numId w:val="1"/>
        </w:numPr>
        <w:jc w:val="both"/>
        <w:rPr>
          <w:sz w:val="24"/>
          <w:szCs w:val="24"/>
        </w:rPr>
      </w:pPr>
      <w:r>
        <w:rPr>
          <w:sz w:val="24"/>
          <w:szCs w:val="24"/>
        </w:rPr>
        <w:t>Students who have received free school meals in the last 6 years</w:t>
      </w:r>
    </w:p>
    <w:p w:rsidR="00C664F3" w:rsidRDefault="00C664F3" w:rsidP="00C664F3">
      <w:pPr>
        <w:pStyle w:val="ListParagraph"/>
        <w:numPr>
          <w:ilvl w:val="0"/>
          <w:numId w:val="1"/>
        </w:numPr>
        <w:jc w:val="both"/>
        <w:rPr>
          <w:sz w:val="24"/>
          <w:szCs w:val="24"/>
        </w:rPr>
      </w:pPr>
      <w:r>
        <w:rPr>
          <w:sz w:val="24"/>
          <w:szCs w:val="24"/>
        </w:rPr>
        <w:t>Students who are children of service personnel within the last 4 years</w:t>
      </w:r>
    </w:p>
    <w:p w:rsidR="007949A8" w:rsidRDefault="007949A8" w:rsidP="007949A8">
      <w:pPr>
        <w:jc w:val="both"/>
        <w:rPr>
          <w:sz w:val="24"/>
          <w:szCs w:val="24"/>
        </w:rPr>
      </w:pPr>
      <w:r>
        <w:rPr>
          <w:sz w:val="24"/>
          <w:szCs w:val="24"/>
        </w:rPr>
        <w:t>Students who are in local authority care also receive funding via their Personal Education Plan – this is accounted for separately as a result of discussion between school, Children’s Social Care, carers and the students.</w:t>
      </w:r>
    </w:p>
    <w:p w:rsidR="007949A8" w:rsidRDefault="007949A8" w:rsidP="007949A8">
      <w:pPr>
        <w:jc w:val="both"/>
        <w:rPr>
          <w:sz w:val="24"/>
          <w:szCs w:val="24"/>
        </w:rPr>
      </w:pPr>
      <w:r>
        <w:rPr>
          <w:sz w:val="24"/>
          <w:szCs w:val="24"/>
        </w:rPr>
        <w:t>Our analysis of our pupil premium cohort indicates that there are no “cohort-wide” concerns and some pupil premium students perform as well as, or better, than the non-pupil premium cohort. Where pupil premium students fall behind, our focus is on individualised personal support de</w:t>
      </w:r>
      <w:r w:rsidR="00A814E4">
        <w:rPr>
          <w:sz w:val="24"/>
          <w:szCs w:val="24"/>
        </w:rPr>
        <w:t>veloped on a student by student</w:t>
      </w:r>
      <w:r>
        <w:rPr>
          <w:sz w:val="24"/>
          <w:szCs w:val="24"/>
        </w:rPr>
        <w:t xml:space="preserve"> approach.</w:t>
      </w:r>
    </w:p>
    <w:p w:rsidR="007949A8" w:rsidRDefault="007949A8" w:rsidP="007949A8">
      <w:pPr>
        <w:jc w:val="both"/>
        <w:rPr>
          <w:sz w:val="24"/>
          <w:szCs w:val="24"/>
        </w:rPr>
      </w:pPr>
      <w:r>
        <w:rPr>
          <w:sz w:val="24"/>
          <w:szCs w:val="24"/>
        </w:rPr>
        <w:t>School’s strategy focuses on:</w:t>
      </w:r>
    </w:p>
    <w:p w:rsidR="007949A8" w:rsidRDefault="007949A8" w:rsidP="007949A8">
      <w:pPr>
        <w:pStyle w:val="ListParagraph"/>
        <w:numPr>
          <w:ilvl w:val="0"/>
          <w:numId w:val="5"/>
        </w:numPr>
        <w:jc w:val="both"/>
        <w:rPr>
          <w:sz w:val="24"/>
          <w:szCs w:val="24"/>
        </w:rPr>
      </w:pPr>
      <w:r>
        <w:rPr>
          <w:sz w:val="24"/>
          <w:szCs w:val="24"/>
        </w:rPr>
        <w:t>Developing confidence and resilience amongst students</w:t>
      </w:r>
    </w:p>
    <w:p w:rsidR="007949A8" w:rsidRDefault="007949A8" w:rsidP="007949A8">
      <w:pPr>
        <w:pStyle w:val="ListParagraph"/>
        <w:numPr>
          <w:ilvl w:val="0"/>
          <w:numId w:val="5"/>
        </w:numPr>
        <w:jc w:val="both"/>
        <w:rPr>
          <w:sz w:val="24"/>
          <w:szCs w:val="24"/>
        </w:rPr>
      </w:pPr>
      <w:r>
        <w:rPr>
          <w:sz w:val="24"/>
          <w:szCs w:val="24"/>
        </w:rPr>
        <w:t>Enabling access to enriching extra-curricular activities</w:t>
      </w:r>
    </w:p>
    <w:p w:rsidR="007949A8" w:rsidRPr="007949A8" w:rsidRDefault="007949A8" w:rsidP="007949A8">
      <w:pPr>
        <w:pStyle w:val="ListParagraph"/>
        <w:numPr>
          <w:ilvl w:val="0"/>
          <w:numId w:val="5"/>
        </w:numPr>
        <w:jc w:val="both"/>
        <w:rPr>
          <w:sz w:val="24"/>
          <w:szCs w:val="24"/>
        </w:rPr>
      </w:pPr>
      <w:r>
        <w:rPr>
          <w:sz w:val="24"/>
          <w:szCs w:val="24"/>
        </w:rPr>
        <w:t>Gaining positive progress outcomes</w:t>
      </w:r>
    </w:p>
    <w:p w:rsidR="00C664F3" w:rsidRDefault="00C664F3" w:rsidP="00C664F3">
      <w:pPr>
        <w:jc w:val="both"/>
        <w:rPr>
          <w:sz w:val="24"/>
          <w:szCs w:val="24"/>
        </w:rPr>
      </w:pPr>
      <w:r>
        <w:rPr>
          <w:sz w:val="24"/>
          <w:szCs w:val="24"/>
        </w:rPr>
        <w:t>As a school, we make the following general provisions</w:t>
      </w:r>
    </w:p>
    <w:tbl>
      <w:tblPr>
        <w:tblStyle w:val="TableGrid"/>
        <w:tblW w:w="0" w:type="auto"/>
        <w:tblLook w:val="04A0" w:firstRow="1" w:lastRow="0" w:firstColumn="1" w:lastColumn="0" w:noHBand="0" w:noVBand="1"/>
      </w:tblPr>
      <w:tblGrid>
        <w:gridCol w:w="5495"/>
        <w:gridCol w:w="3260"/>
      </w:tblGrid>
      <w:tr w:rsidR="00C664F3" w:rsidTr="00790C92">
        <w:tc>
          <w:tcPr>
            <w:tcW w:w="5495" w:type="dxa"/>
          </w:tcPr>
          <w:p w:rsidR="00C664F3" w:rsidRDefault="00C664F3" w:rsidP="00C664F3">
            <w:pPr>
              <w:jc w:val="center"/>
              <w:rPr>
                <w:sz w:val="24"/>
                <w:szCs w:val="24"/>
              </w:rPr>
            </w:pPr>
            <w:r>
              <w:rPr>
                <w:sz w:val="24"/>
                <w:szCs w:val="24"/>
              </w:rPr>
              <w:t>Provision</w:t>
            </w:r>
          </w:p>
        </w:tc>
        <w:tc>
          <w:tcPr>
            <w:tcW w:w="3260" w:type="dxa"/>
          </w:tcPr>
          <w:p w:rsidR="00C664F3" w:rsidRDefault="00C664F3" w:rsidP="00C664F3">
            <w:pPr>
              <w:jc w:val="center"/>
              <w:rPr>
                <w:sz w:val="24"/>
                <w:szCs w:val="24"/>
              </w:rPr>
            </w:pPr>
            <w:r>
              <w:rPr>
                <w:sz w:val="24"/>
                <w:szCs w:val="24"/>
              </w:rPr>
              <w:t>Cost</w:t>
            </w:r>
          </w:p>
        </w:tc>
      </w:tr>
      <w:tr w:rsidR="00C664F3" w:rsidTr="00790C92">
        <w:tc>
          <w:tcPr>
            <w:tcW w:w="5495" w:type="dxa"/>
          </w:tcPr>
          <w:p w:rsidR="00C664F3" w:rsidRDefault="00790C92" w:rsidP="00C664F3">
            <w:pPr>
              <w:rPr>
                <w:sz w:val="24"/>
                <w:szCs w:val="24"/>
              </w:rPr>
            </w:pPr>
            <w:r>
              <w:rPr>
                <w:sz w:val="24"/>
                <w:szCs w:val="24"/>
              </w:rPr>
              <w:t>Student counselling</w:t>
            </w:r>
          </w:p>
        </w:tc>
        <w:tc>
          <w:tcPr>
            <w:tcW w:w="3260" w:type="dxa"/>
          </w:tcPr>
          <w:p w:rsidR="00C664F3" w:rsidRDefault="007F5BCC" w:rsidP="00C664F3">
            <w:pPr>
              <w:rPr>
                <w:sz w:val="24"/>
                <w:szCs w:val="24"/>
              </w:rPr>
            </w:pPr>
            <w:r>
              <w:rPr>
                <w:sz w:val="24"/>
                <w:szCs w:val="24"/>
              </w:rPr>
              <w:t>£18,000</w:t>
            </w:r>
          </w:p>
        </w:tc>
      </w:tr>
      <w:tr w:rsidR="00C664F3" w:rsidTr="00790C92">
        <w:tc>
          <w:tcPr>
            <w:tcW w:w="5495" w:type="dxa"/>
          </w:tcPr>
          <w:p w:rsidR="00C664F3" w:rsidRDefault="00790C92" w:rsidP="00C664F3">
            <w:pPr>
              <w:rPr>
                <w:sz w:val="24"/>
                <w:szCs w:val="24"/>
              </w:rPr>
            </w:pPr>
            <w:r>
              <w:rPr>
                <w:sz w:val="24"/>
                <w:szCs w:val="24"/>
              </w:rPr>
              <w:t>Medical support</w:t>
            </w:r>
          </w:p>
        </w:tc>
        <w:tc>
          <w:tcPr>
            <w:tcW w:w="3260" w:type="dxa"/>
          </w:tcPr>
          <w:p w:rsidR="00C664F3" w:rsidRDefault="00F42F7F" w:rsidP="00AC45B9">
            <w:pPr>
              <w:rPr>
                <w:sz w:val="24"/>
                <w:szCs w:val="24"/>
              </w:rPr>
            </w:pPr>
            <w:r>
              <w:rPr>
                <w:sz w:val="24"/>
                <w:szCs w:val="24"/>
              </w:rPr>
              <w:t>£</w:t>
            </w:r>
            <w:r w:rsidR="00AC45B9">
              <w:rPr>
                <w:sz w:val="24"/>
                <w:szCs w:val="24"/>
              </w:rPr>
              <w:t>36,649</w:t>
            </w:r>
          </w:p>
        </w:tc>
      </w:tr>
      <w:tr w:rsidR="00C664F3" w:rsidTr="00790C92">
        <w:tc>
          <w:tcPr>
            <w:tcW w:w="5495" w:type="dxa"/>
          </w:tcPr>
          <w:p w:rsidR="00C664F3" w:rsidRDefault="00790C92" w:rsidP="00C664F3">
            <w:pPr>
              <w:rPr>
                <w:sz w:val="24"/>
                <w:szCs w:val="24"/>
              </w:rPr>
            </w:pPr>
            <w:r>
              <w:rPr>
                <w:sz w:val="24"/>
                <w:szCs w:val="24"/>
              </w:rPr>
              <w:t>Careers advice</w:t>
            </w:r>
          </w:p>
        </w:tc>
        <w:tc>
          <w:tcPr>
            <w:tcW w:w="3260" w:type="dxa"/>
          </w:tcPr>
          <w:p w:rsidR="00C664F3" w:rsidRDefault="00F42F7F" w:rsidP="00AC45B9">
            <w:pPr>
              <w:rPr>
                <w:sz w:val="24"/>
                <w:szCs w:val="24"/>
              </w:rPr>
            </w:pPr>
            <w:r>
              <w:rPr>
                <w:sz w:val="24"/>
                <w:szCs w:val="24"/>
              </w:rPr>
              <w:t xml:space="preserve">£  </w:t>
            </w:r>
            <w:r w:rsidR="00AC45B9">
              <w:rPr>
                <w:sz w:val="24"/>
                <w:szCs w:val="24"/>
              </w:rPr>
              <w:t>8,259</w:t>
            </w:r>
          </w:p>
        </w:tc>
      </w:tr>
      <w:tr w:rsidR="00F17B84" w:rsidTr="00790C92">
        <w:tc>
          <w:tcPr>
            <w:tcW w:w="5495" w:type="dxa"/>
          </w:tcPr>
          <w:p w:rsidR="00F17B84" w:rsidRDefault="00F17B84" w:rsidP="00F17B84">
            <w:pPr>
              <w:rPr>
                <w:sz w:val="24"/>
                <w:szCs w:val="24"/>
              </w:rPr>
            </w:pPr>
            <w:r>
              <w:rPr>
                <w:sz w:val="24"/>
                <w:szCs w:val="24"/>
              </w:rPr>
              <w:t>Student pastoral support</w:t>
            </w:r>
          </w:p>
        </w:tc>
        <w:tc>
          <w:tcPr>
            <w:tcW w:w="3260" w:type="dxa"/>
          </w:tcPr>
          <w:p w:rsidR="00F17B84" w:rsidRDefault="0083294B" w:rsidP="00822F55">
            <w:pPr>
              <w:rPr>
                <w:sz w:val="24"/>
                <w:szCs w:val="24"/>
              </w:rPr>
            </w:pPr>
            <w:r>
              <w:rPr>
                <w:sz w:val="24"/>
                <w:szCs w:val="24"/>
              </w:rPr>
              <w:t>£</w:t>
            </w:r>
            <w:r w:rsidR="00822F55">
              <w:rPr>
                <w:sz w:val="24"/>
                <w:szCs w:val="24"/>
              </w:rPr>
              <w:t>23,996</w:t>
            </w:r>
          </w:p>
        </w:tc>
      </w:tr>
      <w:tr w:rsidR="00C664F3" w:rsidTr="00790C92">
        <w:tc>
          <w:tcPr>
            <w:tcW w:w="5495" w:type="dxa"/>
          </w:tcPr>
          <w:p w:rsidR="00C664F3" w:rsidRDefault="00F42F7F" w:rsidP="00C664F3">
            <w:pPr>
              <w:rPr>
                <w:sz w:val="24"/>
                <w:szCs w:val="24"/>
              </w:rPr>
            </w:pPr>
            <w:r>
              <w:rPr>
                <w:sz w:val="24"/>
                <w:szCs w:val="24"/>
              </w:rPr>
              <w:t>Free school meals</w:t>
            </w:r>
          </w:p>
        </w:tc>
        <w:tc>
          <w:tcPr>
            <w:tcW w:w="3260" w:type="dxa"/>
          </w:tcPr>
          <w:p w:rsidR="00C664F3" w:rsidRDefault="00F42F7F" w:rsidP="00DD4A3B">
            <w:pPr>
              <w:rPr>
                <w:sz w:val="24"/>
                <w:szCs w:val="24"/>
              </w:rPr>
            </w:pPr>
            <w:r>
              <w:rPr>
                <w:sz w:val="24"/>
                <w:szCs w:val="24"/>
              </w:rPr>
              <w:t xml:space="preserve">£ </w:t>
            </w:r>
            <w:r w:rsidR="00822F55">
              <w:rPr>
                <w:sz w:val="24"/>
                <w:szCs w:val="24"/>
              </w:rPr>
              <w:t xml:space="preserve"> </w:t>
            </w:r>
            <w:r w:rsidR="00DD4A3B">
              <w:rPr>
                <w:sz w:val="24"/>
                <w:szCs w:val="24"/>
              </w:rPr>
              <w:t>8,000</w:t>
            </w:r>
          </w:p>
        </w:tc>
      </w:tr>
      <w:tr w:rsidR="00C664F3" w:rsidTr="00790C92">
        <w:tc>
          <w:tcPr>
            <w:tcW w:w="5495" w:type="dxa"/>
          </w:tcPr>
          <w:p w:rsidR="00C664F3" w:rsidRDefault="00F42F7F" w:rsidP="00C664F3">
            <w:pPr>
              <w:rPr>
                <w:sz w:val="24"/>
                <w:szCs w:val="24"/>
              </w:rPr>
            </w:pPr>
            <w:r>
              <w:rPr>
                <w:sz w:val="24"/>
                <w:szCs w:val="24"/>
              </w:rPr>
              <w:t>Enterprise challenges</w:t>
            </w:r>
          </w:p>
        </w:tc>
        <w:tc>
          <w:tcPr>
            <w:tcW w:w="3260" w:type="dxa"/>
          </w:tcPr>
          <w:p w:rsidR="00C664F3" w:rsidRDefault="00F42F7F" w:rsidP="00822F55">
            <w:pPr>
              <w:rPr>
                <w:sz w:val="24"/>
                <w:szCs w:val="24"/>
              </w:rPr>
            </w:pPr>
            <w:r>
              <w:rPr>
                <w:sz w:val="24"/>
                <w:szCs w:val="24"/>
              </w:rPr>
              <w:t>£</w:t>
            </w:r>
            <w:r w:rsidR="00822F55">
              <w:rPr>
                <w:sz w:val="24"/>
                <w:szCs w:val="24"/>
              </w:rPr>
              <w:t xml:space="preserve"> </w:t>
            </w:r>
            <w:r>
              <w:rPr>
                <w:sz w:val="24"/>
                <w:szCs w:val="24"/>
              </w:rPr>
              <w:t xml:space="preserve"> 1,</w:t>
            </w:r>
            <w:r w:rsidR="00822F55">
              <w:rPr>
                <w:sz w:val="24"/>
                <w:szCs w:val="24"/>
              </w:rPr>
              <w:t>350</w:t>
            </w:r>
          </w:p>
        </w:tc>
      </w:tr>
      <w:tr w:rsidR="00C664F3" w:rsidTr="00790C92">
        <w:tc>
          <w:tcPr>
            <w:tcW w:w="5495" w:type="dxa"/>
          </w:tcPr>
          <w:p w:rsidR="00C664F3" w:rsidRDefault="004C2FD8" w:rsidP="00C664F3">
            <w:pPr>
              <w:rPr>
                <w:sz w:val="24"/>
                <w:szCs w:val="24"/>
              </w:rPr>
            </w:pPr>
            <w:r>
              <w:rPr>
                <w:sz w:val="24"/>
                <w:szCs w:val="24"/>
              </w:rPr>
              <w:t>Total</w:t>
            </w:r>
          </w:p>
        </w:tc>
        <w:tc>
          <w:tcPr>
            <w:tcW w:w="3260" w:type="dxa"/>
          </w:tcPr>
          <w:p w:rsidR="00C664F3" w:rsidRDefault="0083294B" w:rsidP="00DD4A3B">
            <w:pPr>
              <w:rPr>
                <w:sz w:val="24"/>
                <w:szCs w:val="24"/>
              </w:rPr>
            </w:pPr>
            <w:r>
              <w:rPr>
                <w:sz w:val="24"/>
                <w:szCs w:val="24"/>
              </w:rPr>
              <w:t>£</w:t>
            </w:r>
            <w:r w:rsidR="00DD4A3B">
              <w:rPr>
                <w:sz w:val="24"/>
                <w:szCs w:val="24"/>
              </w:rPr>
              <w:t>96,254</w:t>
            </w:r>
          </w:p>
        </w:tc>
      </w:tr>
    </w:tbl>
    <w:p w:rsidR="00F42F7F" w:rsidRDefault="00F42F7F" w:rsidP="004C2FD8">
      <w:pPr>
        <w:jc w:val="both"/>
        <w:rPr>
          <w:sz w:val="24"/>
          <w:szCs w:val="24"/>
        </w:rPr>
      </w:pPr>
    </w:p>
    <w:p w:rsidR="00AE08AF" w:rsidRDefault="00AE08AF" w:rsidP="004C2FD8">
      <w:pPr>
        <w:jc w:val="both"/>
        <w:rPr>
          <w:sz w:val="24"/>
          <w:szCs w:val="24"/>
        </w:rPr>
      </w:pPr>
      <w:r>
        <w:rPr>
          <w:sz w:val="24"/>
          <w:szCs w:val="24"/>
        </w:rPr>
        <w:t>As can be seen, this figure is in excess of that specifically allocated via the Pupil Premium grant.  However, these provisions are of benefit to our whole school community in addition to those who qualify for pupil premium.</w:t>
      </w:r>
    </w:p>
    <w:p w:rsidR="00F42F7F" w:rsidRDefault="00F42F7F" w:rsidP="004C2FD8">
      <w:pPr>
        <w:jc w:val="both"/>
        <w:rPr>
          <w:sz w:val="24"/>
          <w:szCs w:val="24"/>
        </w:rPr>
      </w:pPr>
      <w:r>
        <w:rPr>
          <w:sz w:val="24"/>
          <w:szCs w:val="24"/>
        </w:rPr>
        <w:t>In addition, we intend to allocate approximately £</w:t>
      </w:r>
      <w:r w:rsidR="00DD4A3B">
        <w:rPr>
          <w:sz w:val="24"/>
          <w:szCs w:val="24"/>
        </w:rPr>
        <w:t>2</w:t>
      </w:r>
      <w:r>
        <w:rPr>
          <w:sz w:val="24"/>
          <w:szCs w:val="24"/>
        </w:rPr>
        <w:t>,000 specifically for Pupil Premium students in the following ways, subject to availability of funds and the equity of their distribution.</w:t>
      </w:r>
    </w:p>
    <w:p w:rsidR="00D1342E" w:rsidRDefault="00D1342E" w:rsidP="004C2FD8">
      <w:pPr>
        <w:jc w:val="both"/>
        <w:rPr>
          <w:sz w:val="24"/>
          <w:szCs w:val="24"/>
        </w:rPr>
      </w:pPr>
    </w:p>
    <w:p w:rsidR="00DD4A3B" w:rsidRDefault="00DD4A3B" w:rsidP="004C2FD8">
      <w:pPr>
        <w:jc w:val="both"/>
        <w:rPr>
          <w:sz w:val="24"/>
          <w:szCs w:val="24"/>
        </w:rPr>
      </w:pPr>
    </w:p>
    <w:p w:rsidR="00F42F7F" w:rsidRDefault="00D048E4" w:rsidP="004C2FD8">
      <w:pPr>
        <w:jc w:val="both"/>
        <w:rPr>
          <w:sz w:val="24"/>
          <w:szCs w:val="24"/>
        </w:rPr>
      </w:pPr>
      <w:r w:rsidRPr="00D1342E">
        <w:rPr>
          <w:b/>
          <w:sz w:val="24"/>
          <w:szCs w:val="24"/>
        </w:rPr>
        <w:lastRenderedPageBreak/>
        <w:t>Funding for activities / trips where a voluntary contribution or charge is required</w:t>
      </w:r>
      <w:r>
        <w:rPr>
          <w:sz w:val="24"/>
          <w:szCs w:val="24"/>
        </w:rPr>
        <w:t>:</w:t>
      </w:r>
    </w:p>
    <w:p w:rsidR="004C2FD8" w:rsidRDefault="00D048E4" w:rsidP="004C2FD8">
      <w:pPr>
        <w:pStyle w:val="ListParagraph"/>
        <w:numPr>
          <w:ilvl w:val="0"/>
          <w:numId w:val="2"/>
        </w:numPr>
        <w:jc w:val="both"/>
        <w:rPr>
          <w:sz w:val="24"/>
          <w:szCs w:val="24"/>
        </w:rPr>
      </w:pPr>
      <w:r w:rsidRPr="004C2FD8">
        <w:rPr>
          <w:sz w:val="24"/>
          <w:szCs w:val="24"/>
        </w:rPr>
        <w:t>Any</w:t>
      </w:r>
      <w:r w:rsidR="004C2FD8" w:rsidRPr="004C2FD8">
        <w:rPr>
          <w:sz w:val="24"/>
          <w:szCs w:val="24"/>
        </w:rPr>
        <w:t xml:space="preserve"> whole</w:t>
      </w:r>
      <w:r w:rsidRPr="004C2FD8">
        <w:rPr>
          <w:sz w:val="24"/>
          <w:szCs w:val="24"/>
        </w:rPr>
        <w:t xml:space="preserve"> school</w:t>
      </w:r>
      <w:r w:rsidR="004C2FD8" w:rsidRPr="004C2FD8">
        <w:rPr>
          <w:sz w:val="24"/>
          <w:szCs w:val="24"/>
        </w:rPr>
        <w:t xml:space="preserve">/ year group </w:t>
      </w:r>
      <w:r w:rsidRPr="004C2FD8">
        <w:rPr>
          <w:b/>
          <w:sz w:val="24"/>
          <w:szCs w:val="24"/>
        </w:rPr>
        <w:t xml:space="preserve">educational activity, </w:t>
      </w:r>
      <w:r w:rsidRPr="004C2FD8">
        <w:rPr>
          <w:sz w:val="24"/>
          <w:szCs w:val="24"/>
        </w:rPr>
        <w:t xml:space="preserve">taking place within </w:t>
      </w:r>
      <w:r w:rsidR="00AE08AF">
        <w:rPr>
          <w:sz w:val="24"/>
          <w:szCs w:val="24"/>
        </w:rPr>
        <w:t>school</w:t>
      </w:r>
      <w:r w:rsidRPr="004C2FD8">
        <w:rPr>
          <w:sz w:val="24"/>
          <w:szCs w:val="24"/>
        </w:rPr>
        <w:t xml:space="preserve"> time, including</w:t>
      </w:r>
      <w:r w:rsidR="00BE0351" w:rsidRPr="004C2FD8">
        <w:rPr>
          <w:sz w:val="24"/>
          <w:szCs w:val="24"/>
        </w:rPr>
        <w:t xml:space="preserve"> residential visits</w:t>
      </w:r>
      <w:r w:rsidRPr="004C2FD8">
        <w:rPr>
          <w:sz w:val="24"/>
          <w:szCs w:val="24"/>
        </w:rPr>
        <w:t xml:space="preserve">- Full </w:t>
      </w:r>
      <w:r w:rsidR="00D1342E">
        <w:rPr>
          <w:sz w:val="24"/>
          <w:szCs w:val="24"/>
        </w:rPr>
        <w:t xml:space="preserve">cost </w:t>
      </w:r>
      <w:r w:rsidRPr="004C2FD8">
        <w:rPr>
          <w:sz w:val="24"/>
          <w:szCs w:val="24"/>
        </w:rPr>
        <w:t>met</w:t>
      </w:r>
      <w:r w:rsidR="004C2FD8">
        <w:rPr>
          <w:sz w:val="24"/>
          <w:szCs w:val="24"/>
        </w:rPr>
        <w:t>.</w:t>
      </w:r>
    </w:p>
    <w:p w:rsidR="00D048E4" w:rsidRDefault="00D048E4" w:rsidP="004C2FD8">
      <w:pPr>
        <w:pStyle w:val="ListParagraph"/>
        <w:numPr>
          <w:ilvl w:val="0"/>
          <w:numId w:val="2"/>
        </w:numPr>
        <w:jc w:val="both"/>
        <w:rPr>
          <w:sz w:val="24"/>
          <w:szCs w:val="24"/>
        </w:rPr>
      </w:pPr>
      <w:r w:rsidRPr="004C2FD8">
        <w:rPr>
          <w:sz w:val="24"/>
          <w:szCs w:val="24"/>
        </w:rPr>
        <w:t xml:space="preserve">Any </w:t>
      </w:r>
      <w:r w:rsidR="004C2FD8">
        <w:rPr>
          <w:sz w:val="24"/>
          <w:szCs w:val="24"/>
        </w:rPr>
        <w:t xml:space="preserve">whole </w:t>
      </w:r>
      <w:r w:rsidRPr="004C2FD8">
        <w:rPr>
          <w:sz w:val="24"/>
          <w:szCs w:val="24"/>
        </w:rPr>
        <w:t>school</w:t>
      </w:r>
      <w:r w:rsidR="004C2FD8">
        <w:rPr>
          <w:sz w:val="24"/>
          <w:szCs w:val="24"/>
        </w:rPr>
        <w:t xml:space="preserve"> / year group </w:t>
      </w:r>
      <w:r w:rsidR="00BE0351" w:rsidRPr="004C2FD8">
        <w:rPr>
          <w:sz w:val="24"/>
          <w:szCs w:val="24"/>
        </w:rPr>
        <w:t xml:space="preserve">activity, taking place out of </w:t>
      </w:r>
      <w:r w:rsidR="00AE08AF">
        <w:rPr>
          <w:sz w:val="24"/>
          <w:szCs w:val="24"/>
        </w:rPr>
        <w:t>school</w:t>
      </w:r>
      <w:r w:rsidR="00BE0351" w:rsidRPr="004C2FD8">
        <w:rPr>
          <w:sz w:val="24"/>
          <w:szCs w:val="24"/>
        </w:rPr>
        <w:t xml:space="preserve"> time that would have a positive </w:t>
      </w:r>
      <w:r w:rsidR="00BE0351" w:rsidRPr="004C2FD8">
        <w:rPr>
          <w:b/>
          <w:sz w:val="24"/>
          <w:szCs w:val="24"/>
        </w:rPr>
        <w:t>educational benefit</w:t>
      </w:r>
      <w:r w:rsidR="00BE0351" w:rsidRPr="004C2FD8">
        <w:rPr>
          <w:sz w:val="24"/>
          <w:szCs w:val="24"/>
        </w:rPr>
        <w:t xml:space="preserve"> to the student – A proportion of the cost met (determined on a case by case basis).</w:t>
      </w:r>
    </w:p>
    <w:p w:rsidR="004C2FD8" w:rsidRPr="004C2FD8" w:rsidRDefault="004C2FD8" w:rsidP="004C2FD8">
      <w:pPr>
        <w:pStyle w:val="ListParagraph"/>
        <w:numPr>
          <w:ilvl w:val="0"/>
          <w:numId w:val="2"/>
        </w:numPr>
        <w:jc w:val="both"/>
        <w:rPr>
          <w:sz w:val="24"/>
          <w:szCs w:val="24"/>
        </w:rPr>
      </w:pPr>
      <w:r>
        <w:rPr>
          <w:sz w:val="24"/>
          <w:szCs w:val="24"/>
        </w:rPr>
        <w:t>Funding for any other type of trip/ activity will not be allowed.</w:t>
      </w:r>
    </w:p>
    <w:p w:rsidR="00BE0351" w:rsidRDefault="00BE0351" w:rsidP="004C2FD8">
      <w:pPr>
        <w:jc w:val="both"/>
        <w:rPr>
          <w:sz w:val="24"/>
          <w:szCs w:val="24"/>
        </w:rPr>
      </w:pPr>
      <w:r>
        <w:rPr>
          <w:sz w:val="24"/>
          <w:szCs w:val="24"/>
        </w:rPr>
        <w:t>Funding for materials, equipment and resources:</w:t>
      </w:r>
    </w:p>
    <w:p w:rsidR="00BE0351" w:rsidRDefault="00BE0351" w:rsidP="004C2FD8">
      <w:pPr>
        <w:pStyle w:val="ListParagraph"/>
        <w:numPr>
          <w:ilvl w:val="0"/>
          <w:numId w:val="3"/>
        </w:numPr>
        <w:jc w:val="both"/>
        <w:rPr>
          <w:sz w:val="24"/>
          <w:szCs w:val="24"/>
        </w:rPr>
      </w:pPr>
      <w:r>
        <w:rPr>
          <w:sz w:val="24"/>
          <w:szCs w:val="24"/>
        </w:rPr>
        <w:t>Revision guides recommended to a whole year group – Full cost met.</w:t>
      </w:r>
    </w:p>
    <w:p w:rsidR="00BE0351" w:rsidRDefault="00BE0351" w:rsidP="004C2FD8">
      <w:pPr>
        <w:pStyle w:val="ListParagraph"/>
        <w:numPr>
          <w:ilvl w:val="0"/>
          <w:numId w:val="3"/>
        </w:numPr>
        <w:jc w:val="both"/>
        <w:rPr>
          <w:sz w:val="24"/>
          <w:szCs w:val="24"/>
        </w:rPr>
      </w:pPr>
      <w:r>
        <w:rPr>
          <w:sz w:val="24"/>
          <w:szCs w:val="24"/>
        </w:rPr>
        <w:t>Materials for Technology projects – Full cost met.</w:t>
      </w:r>
    </w:p>
    <w:p w:rsidR="00BE0351" w:rsidRDefault="00BE0351" w:rsidP="004C2FD8">
      <w:pPr>
        <w:pStyle w:val="ListParagraph"/>
        <w:numPr>
          <w:ilvl w:val="0"/>
          <w:numId w:val="3"/>
        </w:numPr>
        <w:jc w:val="both"/>
        <w:rPr>
          <w:sz w:val="24"/>
          <w:szCs w:val="24"/>
        </w:rPr>
      </w:pPr>
      <w:r>
        <w:rPr>
          <w:sz w:val="24"/>
          <w:szCs w:val="24"/>
        </w:rPr>
        <w:t>Supply of equipment such as pens, pencils, ruler – supplied in full by General Office</w:t>
      </w:r>
    </w:p>
    <w:p w:rsidR="00BE0351" w:rsidRDefault="00BE0351" w:rsidP="004C2FD8">
      <w:pPr>
        <w:pStyle w:val="ListParagraph"/>
        <w:numPr>
          <w:ilvl w:val="0"/>
          <w:numId w:val="3"/>
        </w:numPr>
        <w:jc w:val="both"/>
        <w:rPr>
          <w:sz w:val="24"/>
          <w:szCs w:val="24"/>
        </w:rPr>
      </w:pPr>
      <w:r>
        <w:rPr>
          <w:sz w:val="24"/>
          <w:szCs w:val="24"/>
        </w:rPr>
        <w:t>Grant towards purchase of school uniform £25 per year.</w:t>
      </w:r>
    </w:p>
    <w:p w:rsidR="00BE0351" w:rsidRDefault="00BE0351" w:rsidP="004C2FD8">
      <w:pPr>
        <w:jc w:val="both"/>
        <w:rPr>
          <w:sz w:val="24"/>
          <w:szCs w:val="24"/>
        </w:rPr>
      </w:pPr>
      <w:r>
        <w:rPr>
          <w:sz w:val="24"/>
          <w:szCs w:val="24"/>
        </w:rPr>
        <w:t>Funding for extra- curricular activities:</w:t>
      </w:r>
    </w:p>
    <w:p w:rsidR="00BE0351" w:rsidRDefault="00BE0351" w:rsidP="004C2FD8">
      <w:pPr>
        <w:pStyle w:val="ListParagraph"/>
        <w:numPr>
          <w:ilvl w:val="0"/>
          <w:numId w:val="4"/>
        </w:numPr>
        <w:jc w:val="both"/>
        <w:rPr>
          <w:sz w:val="24"/>
          <w:szCs w:val="24"/>
        </w:rPr>
      </w:pPr>
      <w:r>
        <w:rPr>
          <w:sz w:val="24"/>
          <w:szCs w:val="24"/>
        </w:rPr>
        <w:t>Private instrumental lessons – up to 50% of cost met.</w:t>
      </w:r>
    </w:p>
    <w:p w:rsidR="00BE0351" w:rsidRDefault="00BE0351" w:rsidP="004C2FD8">
      <w:pPr>
        <w:jc w:val="both"/>
        <w:rPr>
          <w:sz w:val="24"/>
          <w:szCs w:val="24"/>
        </w:rPr>
      </w:pPr>
      <w:r>
        <w:rPr>
          <w:sz w:val="24"/>
          <w:szCs w:val="24"/>
        </w:rPr>
        <w:t>Parents should make application for these remissions by contacting the School Business Manager</w:t>
      </w:r>
      <w:r w:rsidR="00344708">
        <w:rPr>
          <w:sz w:val="24"/>
          <w:szCs w:val="24"/>
        </w:rPr>
        <w:t xml:space="preserve"> </w:t>
      </w:r>
      <w:hyperlink r:id="rId5" w:history="1">
        <w:r w:rsidR="00344708" w:rsidRPr="00667800">
          <w:rPr>
            <w:rStyle w:val="Hyperlink"/>
            <w:sz w:val="24"/>
            <w:szCs w:val="24"/>
          </w:rPr>
          <w:t>slt@brgs.org.uk</w:t>
        </w:r>
      </w:hyperlink>
      <w:r w:rsidR="00344708">
        <w:rPr>
          <w:sz w:val="24"/>
          <w:szCs w:val="24"/>
        </w:rPr>
        <w:t xml:space="preserve"> </w:t>
      </w:r>
      <w:r>
        <w:rPr>
          <w:sz w:val="24"/>
          <w:szCs w:val="24"/>
        </w:rPr>
        <w:t xml:space="preserve"> who will liaise with the Deputy </w:t>
      </w:r>
      <w:proofErr w:type="spellStart"/>
      <w:r>
        <w:rPr>
          <w:sz w:val="24"/>
          <w:szCs w:val="24"/>
        </w:rPr>
        <w:t>Headteacher</w:t>
      </w:r>
      <w:proofErr w:type="spellEnd"/>
      <w:r>
        <w:rPr>
          <w:sz w:val="24"/>
          <w:szCs w:val="24"/>
        </w:rPr>
        <w:t xml:space="preserve"> before any decisions are made.</w:t>
      </w:r>
    </w:p>
    <w:p w:rsidR="00AE08AF" w:rsidRDefault="00AE08AF" w:rsidP="004C2FD8">
      <w:pPr>
        <w:jc w:val="both"/>
        <w:rPr>
          <w:sz w:val="24"/>
          <w:szCs w:val="24"/>
        </w:rPr>
      </w:pPr>
      <w:r>
        <w:rPr>
          <w:sz w:val="24"/>
          <w:szCs w:val="24"/>
        </w:rPr>
        <w:t>School welcomes applications from the parents of students on the pupil premium register and will consider all unanticipated requests on merit.</w:t>
      </w:r>
      <w:bookmarkStart w:id="0" w:name="_GoBack"/>
      <w:bookmarkEnd w:id="0"/>
    </w:p>
    <w:p w:rsidR="00AE08AF" w:rsidRPr="00AE08AF" w:rsidRDefault="00AE08AF" w:rsidP="004C2FD8">
      <w:pPr>
        <w:jc w:val="both"/>
        <w:rPr>
          <w:b/>
          <w:sz w:val="24"/>
          <w:szCs w:val="24"/>
          <w:u w:val="single"/>
        </w:rPr>
      </w:pPr>
      <w:r w:rsidRPr="00AE08AF">
        <w:rPr>
          <w:b/>
          <w:sz w:val="24"/>
          <w:szCs w:val="24"/>
          <w:u w:val="single"/>
        </w:rPr>
        <w:t>Attainment and progress Indicators – GCSE Results 201</w:t>
      </w:r>
      <w:r w:rsidR="00DD4A3B">
        <w:rPr>
          <w:b/>
          <w:sz w:val="24"/>
          <w:szCs w:val="24"/>
          <w:u w:val="single"/>
        </w:rPr>
        <w:t>9</w:t>
      </w:r>
    </w:p>
    <w:p w:rsidR="00AE08AF" w:rsidRDefault="00AE08AF">
      <w:pPr>
        <w:jc w:val="both"/>
        <w:rPr>
          <w:sz w:val="24"/>
          <w:szCs w:val="24"/>
        </w:rPr>
      </w:pPr>
      <w:r w:rsidRPr="00CA6D12">
        <w:rPr>
          <w:sz w:val="24"/>
          <w:szCs w:val="24"/>
        </w:rPr>
        <w:t xml:space="preserve">There were </w:t>
      </w:r>
      <w:r w:rsidR="00DD4A3B">
        <w:rPr>
          <w:sz w:val="24"/>
          <w:szCs w:val="24"/>
        </w:rPr>
        <w:t>8</w:t>
      </w:r>
      <w:r w:rsidRPr="00CA6D12">
        <w:rPr>
          <w:sz w:val="24"/>
          <w:szCs w:val="24"/>
        </w:rPr>
        <w:t xml:space="preserve"> Pupil premium students in year 11 in 201</w:t>
      </w:r>
      <w:r w:rsidR="00DD4A3B">
        <w:rPr>
          <w:sz w:val="24"/>
          <w:szCs w:val="24"/>
        </w:rPr>
        <w:t>9</w:t>
      </w:r>
    </w:p>
    <w:tbl>
      <w:tblPr>
        <w:tblStyle w:val="TableGrid"/>
        <w:tblW w:w="0" w:type="auto"/>
        <w:tblLook w:val="04A0" w:firstRow="1" w:lastRow="0" w:firstColumn="1" w:lastColumn="0" w:noHBand="0" w:noVBand="1"/>
      </w:tblPr>
      <w:tblGrid>
        <w:gridCol w:w="3568"/>
        <w:gridCol w:w="1785"/>
        <w:gridCol w:w="1985"/>
      </w:tblGrid>
      <w:tr w:rsidR="00CA6D12" w:rsidTr="00CA6D12">
        <w:tc>
          <w:tcPr>
            <w:tcW w:w="3568" w:type="dxa"/>
          </w:tcPr>
          <w:p w:rsidR="00CA6D12" w:rsidRDefault="00CA6D12">
            <w:pPr>
              <w:jc w:val="both"/>
              <w:rPr>
                <w:sz w:val="24"/>
                <w:szCs w:val="24"/>
              </w:rPr>
            </w:pPr>
            <w:r>
              <w:rPr>
                <w:sz w:val="24"/>
                <w:szCs w:val="24"/>
              </w:rPr>
              <w:t>Indicator</w:t>
            </w:r>
          </w:p>
        </w:tc>
        <w:tc>
          <w:tcPr>
            <w:tcW w:w="1785" w:type="dxa"/>
          </w:tcPr>
          <w:p w:rsidR="00CA6D12" w:rsidRDefault="00CA6D12">
            <w:pPr>
              <w:jc w:val="both"/>
              <w:rPr>
                <w:sz w:val="24"/>
                <w:szCs w:val="24"/>
              </w:rPr>
            </w:pPr>
            <w:r>
              <w:rPr>
                <w:sz w:val="24"/>
                <w:szCs w:val="24"/>
              </w:rPr>
              <w:t>Pupil Premium</w:t>
            </w:r>
          </w:p>
        </w:tc>
        <w:tc>
          <w:tcPr>
            <w:tcW w:w="1985" w:type="dxa"/>
          </w:tcPr>
          <w:p w:rsidR="00CA6D12" w:rsidRDefault="00CA6D12">
            <w:pPr>
              <w:jc w:val="both"/>
              <w:rPr>
                <w:sz w:val="24"/>
                <w:szCs w:val="24"/>
              </w:rPr>
            </w:pPr>
            <w:r>
              <w:rPr>
                <w:sz w:val="24"/>
                <w:szCs w:val="24"/>
              </w:rPr>
              <w:t>All students</w:t>
            </w:r>
          </w:p>
        </w:tc>
      </w:tr>
      <w:tr w:rsidR="00CA6D12" w:rsidTr="00CA6D12">
        <w:tc>
          <w:tcPr>
            <w:tcW w:w="3568" w:type="dxa"/>
          </w:tcPr>
          <w:p w:rsidR="00CA6D12" w:rsidRDefault="00CA6D12">
            <w:pPr>
              <w:jc w:val="both"/>
              <w:rPr>
                <w:sz w:val="24"/>
                <w:szCs w:val="24"/>
              </w:rPr>
            </w:pPr>
            <w:r>
              <w:rPr>
                <w:sz w:val="24"/>
                <w:szCs w:val="24"/>
              </w:rPr>
              <w:t>Attainment 8</w:t>
            </w:r>
          </w:p>
        </w:tc>
        <w:tc>
          <w:tcPr>
            <w:tcW w:w="1785" w:type="dxa"/>
          </w:tcPr>
          <w:p w:rsidR="00CA6D12" w:rsidRDefault="00CA6D12">
            <w:pPr>
              <w:jc w:val="both"/>
              <w:rPr>
                <w:sz w:val="24"/>
                <w:szCs w:val="24"/>
              </w:rPr>
            </w:pPr>
          </w:p>
        </w:tc>
        <w:tc>
          <w:tcPr>
            <w:tcW w:w="1985" w:type="dxa"/>
          </w:tcPr>
          <w:p w:rsidR="00CA6D12" w:rsidRDefault="00CA6D12">
            <w:pPr>
              <w:jc w:val="both"/>
              <w:rPr>
                <w:sz w:val="24"/>
                <w:szCs w:val="24"/>
              </w:rPr>
            </w:pPr>
          </w:p>
        </w:tc>
      </w:tr>
      <w:tr w:rsidR="00CA6D12" w:rsidTr="00CA6D12">
        <w:tc>
          <w:tcPr>
            <w:tcW w:w="3568" w:type="dxa"/>
          </w:tcPr>
          <w:p w:rsidR="00CA6D12" w:rsidRDefault="00CA6D12">
            <w:pPr>
              <w:jc w:val="both"/>
              <w:rPr>
                <w:sz w:val="24"/>
                <w:szCs w:val="24"/>
              </w:rPr>
            </w:pPr>
            <w:r>
              <w:rPr>
                <w:sz w:val="24"/>
                <w:szCs w:val="24"/>
              </w:rPr>
              <w:t>Progress 8</w:t>
            </w:r>
          </w:p>
        </w:tc>
        <w:tc>
          <w:tcPr>
            <w:tcW w:w="1785" w:type="dxa"/>
          </w:tcPr>
          <w:p w:rsidR="00CA6D12" w:rsidRDefault="00CA6D12">
            <w:pPr>
              <w:jc w:val="both"/>
              <w:rPr>
                <w:sz w:val="24"/>
                <w:szCs w:val="24"/>
              </w:rPr>
            </w:pPr>
          </w:p>
        </w:tc>
        <w:tc>
          <w:tcPr>
            <w:tcW w:w="1985" w:type="dxa"/>
          </w:tcPr>
          <w:p w:rsidR="00CA6D12" w:rsidRDefault="00CA6D12">
            <w:pPr>
              <w:jc w:val="both"/>
              <w:rPr>
                <w:sz w:val="24"/>
                <w:szCs w:val="24"/>
              </w:rPr>
            </w:pPr>
          </w:p>
        </w:tc>
      </w:tr>
      <w:tr w:rsidR="00CA6D12" w:rsidTr="00CA6D12">
        <w:tc>
          <w:tcPr>
            <w:tcW w:w="3568" w:type="dxa"/>
          </w:tcPr>
          <w:p w:rsidR="00CA6D12" w:rsidRDefault="00CA6D12">
            <w:pPr>
              <w:jc w:val="both"/>
              <w:rPr>
                <w:sz w:val="24"/>
                <w:szCs w:val="24"/>
              </w:rPr>
            </w:pPr>
            <w:r>
              <w:rPr>
                <w:sz w:val="24"/>
                <w:szCs w:val="24"/>
              </w:rPr>
              <w:t xml:space="preserve">% strong pass in </w:t>
            </w:r>
            <w:proofErr w:type="spellStart"/>
            <w:r>
              <w:rPr>
                <w:sz w:val="24"/>
                <w:szCs w:val="24"/>
              </w:rPr>
              <w:t>EBacc</w:t>
            </w:r>
            <w:proofErr w:type="spellEnd"/>
          </w:p>
        </w:tc>
        <w:tc>
          <w:tcPr>
            <w:tcW w:w="1785" w:type="dxa"/>
          </w:tcPr>
          <w:p w:rsidR="00CA6D12" w:rsidRDefault="00CA6D12">
            <w:pPr>
              <w:jc w:val="both"/>
              <w:rPr>
                <w:sz w:val="24"/>
                <w:szCs w:val="24"/>
              </w:rPr>
            </w:pPr>
          </w:p>
        </w:tc>
        <w:tc>
          <w:tcPr>
            <w:tcW w:w="1985" w:type="dxa"/>
          </w:tcPr>
          <w:p w:rsidR="00CA6D12" w:rsidRDefault="00CA6D12">
            <w:pPr>
              <w:jc w:val="both"/>
              <w:rPr>
                <w:sz w:val="24"/>
                <w:szCs w:val="24"/>
              </w:rPr>
            </w:pPr>
          </w:p>
        </w:tc>
      </w:tr>
      <w:tr w:rsidR="00CA6D12" w:rsidTr="00CA6D12">
        <w:tc>
          <w:tcPr>
            <w:tcW w:w="3568" w:type="dxa"/>
          </w:tcPr>
          <w:p w:rsidR="00CA6D12" w:rsidRDefault="00CA6D12">
            <w:pPr>
              <w:jc w:val="both"/>
              <w:rPr>
                <w:sz w:val="24"/>
                <w:szCs w:val="24"/>
              </w:rPr>
            </w:pPr>
            <w:r>
              <w:rPr>
                <w:sz w:val="24"/>
                <w:szCs w:val="24"/>
              </w:rPr>
              <w:t xml:space="preserve">% standard pass in </w:t>
            </w:r>
            <w:proofErr w:type="spellStart"/>
            <w:r>
              <w:rPr>
                <w:sz w:val="24"/>
                <w:szCs w:val="24"/>
              </w:rPr>
              <w:t>EBacc</w:t>
            </w:r>
            <w:proofErr w:type="spellEnd"/>
          </w:p>
        </w:tc>
        <w:tc>
          <w:tcPr>
            <w:tcW w:w="1785" w:type="dxa"/>
          </w:tcPr>
          <w:p w:rsidR="00CA6D12" w:rsidRDefault="00CA6D12">
            <w:pPr>
              <w:jc w:val="both"/>
              <w:rPr>
                <w:sz w:val="24"/>
                <w:szCs w:val="24"/>
              </w:rPr>
            </w:pPr>
          </w:p>
        </w:tc>
        <w:tc>
          <w:tcPr>
            <w:tcW w:w="1985" w:type="dxa"/>
          </w:tcPr>
          <w:p w:rsidR="00CA6D12" w:rsidRDefault="00CA6D12">
            <w:pPr>
              <w:jc w:val="both"/>
              <w:rPr>
                <w:sz w:val="24"/>
                <w:szCs w:val="24"/>
              </w:rPr>
            </w:pPr>
          </w:p>
        </w:tc>
      </w:tr>
      <w:tr w:rsidR="00CA6D12" w:rsidTr="00CA6D12">
        <w:tc>
          <w:tcPr>
            <w:tcW w:w="3568" w:type="dxa"/>
          </w:tcPr>
          <w:p w:rsidR="00CA6D12" w:rsidRDefault="00CA6D12" w:rsidP="00CA6D12">
            <w:pPr>
              <w:jc w:val="both"/>
              <w:rPr>
                <w:sz w:val="24"/>
                <w:szCs w:val="24"/>
              </w:rPr>
            </w:pPr>
            <w:r>
              <w:rPr>
                <w:sz w:val="24"/>
                <w:szCs w:val="24"/>
              </w:rPr>
              <w:t>% strong pass in English &amp; Maths</w:t>
            </w:r>
          </w:p>
        </w:tc>
        <w:tc>
          <w:tcPr>
            <w:tcW w:w="1785" w:type="dxa"/>
          </w:tcPr>
          <w:p w:rsidR="00CA6D12" w:rsidRDefault="00CA6D12">
            <w:pPr>
              <w:jc w:val="both"/>
              <w:rPr>
                <w:sz w:val="24"/>
                <w:szCs w:val="24"/>
              </w:rPr>
            </w:pPr>
          </w:p>
        </w:tc>
        <w:tc>
          <w:tcPr>
            <w:tcW w:w="1985" w:type="dxa"/>
          </w:tcPr>
          <w:p w:rsidR="00CA6D12" w:rsidRDefault="00CA6D12">
            <w:pPr>
              <w:jc w:val="both"/>
              <w:rPr>
                <w:sz w:val="24"/>
                <w:szCs w:val="24"/>
              </w:rPr>
            </w:pPr>
          </w:p>
        </w:tc>
      </w:tr>
    </w:tbl>
    <w:p w:rsidR="00CA6D12" w:rsidRPr="00CA6D12" w:rsidRDefault="00CA6D12">
      <w:pPr>
        <w:jc w:val="both"/>
        <w:rPr>
          <w:sz w:val="24"/>
          <w:szCs w:val="24"/>
        </w:rPr>
      </w:pPr>
    </w:p>
    <w:sectPr w:rsidR="00CA6D12" w:rsidRPr="00CA6D12" w:rsidSect="00BE0351">
      <w:pgSz w:w="11906" w:h="16838"/>
      <w:pgMar w:top="1440" w:right="566"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47B7"/>
    <w:multiLevelType w:val="hybridMultilevel"/>
    <w:tmpl w:val="FA843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E410F8"/>
    <w:multiLevelType w:val="hybridMultilevel"/>
    <w:tmpl w:val="640C7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2427CE"/>
    <w:multiLevelType w:val="hybridMultilevel"/>
    <w:tmpl w:val="9AD2E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A0667"/>
    <w:multiLevelType w:val="hybridMultilevel"/>
    <w:tmpl w:val="82881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F3037F"/>
    <w:multiLevelType w:val="hybridMultilevel"/>
    <w:tmpl w:val="8C90D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F3"/>
    <w:rsid w:val="00254642"/>
    <w:rsid w:val="00344708"/>
    <w:rsid w:val="0034548D"/>
    <w:rsid w:val="004C2FD8"/>
    <w:rsid w:val="004C6FE2"/>
    <w:rsid w:val="00790C92"/>
    <w:rsid w:val="007949A8"/>
    <w:rsid w:val="007F5BCC"/>
    <w:rsid w:val="00822F55"/>
    <w:rsid w:val="0083294B"/>
    <w:rsid w:val="00A814E4"/>
    <w:rsid w:val="00AC45B9"/>
    <w:rsid w:val="00AE08AF"/>
    <w:rsid w:val="00B80B27"/>
    <w:rsid w:val="00BE0351"/>
    <w:rsid w:val="00C664F3"/>
    <w:rsid w:val="00CA6D12"/>
    <w:rsid w:val="00D048E4"/>
    <w:rsid w:val="00D1342E"/>
    <w:rsid w:val="00DD4A3B"/>
    <w:rsid w:val="00F17B84"/>
    <w:rsid w:val="00F42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79B50"/>
  <w15:docId w15:val="{A04D3B9C-C411-4170-B7DD-4BC81535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6FE2"/>
    <w:pPr>
      <w:keepNext/>
      <w:keepLines/>
      <w:spacing w:before="480" w:after="0" w:line="240" w:lineRule="auto"/>
      <w:outlineLvl w:val="0"/>
    </w:pPr>
    <w:rPr>
      <w:rFonts w:eastAsiaTheme="majorEastAsia" w:cstheme="majorBidi"/>
      <w:b/>
      <w:bCs/>
      <w:sz w:val="4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FE2"/>
    <w:rPr>
      <w:rFonts w:eastAsiaTheme="majorEastAsia" w:cstheme="majorBidi"/>
      <w:b/>
      <w:bCs/>
      <w:sz w:val="48"/>
      <w:szCs w:val="28"/>
      <w:lang w:eastAsia="en-GB"/>
    </w:rPr>
  </w:style>
  <w:style w:type="paragraph" w:styleId="ListParagraph">
    <w:name w:val="List Paragraph"/>
    <w:basedOn w:val="Normal"/>
    <w:uiPriority w:val="34"/>
    <w:qFormat/>
    <w:rsid w:val="00C664F3"/>
    <w:pPr>
      <w:ind w:left="720"/>
      <w:contextualSpacing/>
    </w:pPr>
  </w:style>
  <w:style w:type="table" w:styleId="TableGrid">
    <w:name w:val="Table Grid"/>
    <w:basedOn w:val="TableNormal"/>
    <w:uiPriority w:val="59"/>
    <w:rsid w:val="00C66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47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lt@brg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B9078D83</Template>
  <TotalTime>35</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Bacup and Rawtenstall Grammar School</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Suzanne Taggart</cp:lastModifiedBy>
  <cp:revision>3</cp:revision>
  <dcterms:created xsi:type="dcterms:W3CDTF">2019-12-03T08:31:00Z</dcterms:created>
  <dcterms:modified xsi:type="dcterms:W3CDTF">2019-12-03T09:10:00Z</dcterms:modified>
</cp:coreProperties>
</file>